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90" w:rsidRPr="00151FED" w:rsidRDefault="00940DBA" w:rsidP="00151FED">
      <w:pPr>
        <w:ind w:firstLine="708"/>
        <w:jc w:val="both"/>
        <w:rPr>
          <w:rFonts w:ascii="Century Gothic" w:hAnsi="Century Gothic"/>
          <w:b/>
          <w:sz w:val="24"/>
          <w:szCs w:val="24"/>
        </w:rPr>
      </w:pPr>
      <w:r w:rsidRPr="00151FED">
        <w:rPr>
          <w:rFonts w:ascii="Century Gothic" w:hAnsi="Century Gothic"/>
          <w:b/>
          <w:sz w:val="24"/>
          <w:szCs w:val="24"/>
        </w:rPr>
        <w:t xml:space="preserve">ACTA DE SESIÓN ORDINARIA </w:t>
      </w:r>
      <w:r w:rsidR="00AF3B90" w:rsidRPr="00151FED">
        <w:rPr>
          <w:rFonts w:ascii="Century Gothic" w:hAnsi="Century Gothic"/>
          <w:b/>
          <w:sz w:val="24"/>
          <w:szCs w:val="24"/>
        </w:rPr>
        <w:t xml:space="preserve"> DE FECHA </w:t>
      </w:r>
      <w:r w:rsidRPr="00151FED">
        <w:rPr>
          <w:rFonts w:ascii="Century Gothic" w:hAnsi="Century Gothic"/>
          <w:b/>
          <w:sz w:val="24"/>
          <w:szCs w:val="24"/>
        </w:rPr>
        <w:t xml:space="preserve">16 DIECISÉIS </w:t>
      </w:r>
      <w:r w:rsidR="00622D2B" w:rsidRPr="00151FED">
        <w:rPr>
          <w:rFonts w:ascii="Century Gothic" w:hAnsi="Century Gothic"/>
          <w:b/>
          <w:sz w:val="24"/>
          <w:szCs w:val="24"/>
        </w:rPr>
        <w:t>DE ABRIL DEL AÑO 2018 DOS MIL DIECIOCHO</w:t>
      </w:r>
      <w:r w:rsidR="00AF3B90" w:rsidRPr="00151FED">
        <w:rPr>
          <w:rFonts w:ascii="Century Gothic" w:hAnsi="Century Gothic"/>
          <w:b/>
          <w:sz w:val="24"/>
          <w:szCs w:val="24"/>
        </w:rPr>
        <w:t>, DEL H. COMITÉ DE TRANSPARENCIA CLASIFICACIÓN DE INFORMACIÓN PÚBLICA Y TRANSPARENCIA DEL TRIBUNAL DE ARBITRAJE Y ESCALAFÓN DEL ESTADO DE JALISCO.</w:t>
      </w:r>
    </w:p>
    <w:p w:rsidR="00AF3B90" w:rsidRPr="00151FED" w:rsidRDefault="00AF3B90" w:rsidP="00151FED">
      <w:pPr>
        <w:jc w:val="both"/>
        <w:rPr>
          <w:rFonts w:ascii="Century Gothic" w:hAnsi="Century Gothic"/>
          <w:sz w:val="24"/>
          <w:szCs w:val="24"/>
        </w:rPr>
      </w:pPr>
    </w:p>
    <w:p w:rsidR="00AF3B90" w:rsidRPr="00151FED" w:rsidRDefault="00AF3B90" w:rsidP="00151FED">
      <w:pPr>
        <w:ind w:firstLine="708"/>
        <w:jc w:val="both"/>
        <w:rPr>
          <w:rFonts w:ascii="Century Gothic" w:hAnsi="Century Gothic"/>
          <w:sz w:val="24"/>
          <w:szCs w:val="24"/>
        </w:rPr>
      </w:pPr>
      <w:r w:rsidRPr="00151FED">
        <w:rPr>
          <w:rFonts w:ascii="Century Gothic" w:hAnsi="Century Gothic"/>
          <w:sz w:val="24"/>
          <w:szCs w:val="24"/>
        </w:rPr>
        <w:t>Siendo las 11:00 once horas  del día</w:t>
      </w:r>
      <w:r w:rsidR="00940DBA" w:rsidRPr="00151FED">
        <w:rPr>
          <w:rFonts w:ascii="Century Gothic" w:hAnsi="Century Gothic"/>
          <w:sz w:val="24"/>
          <w:szCs w:val="24"/>
        </w:rPr>
        <w:t xml:space="preserve"> señalado</w:t>
      </w:r>
      <w:r w:rsidRPr="00151FED">
        <w:rPr>
          <w:rFonts w:ascii="Century Gothic" w:hAnsi="Century Gothic"/>
          <w:sz w:val="24"/>
          <w:szCs w:val="24"/>
        </w:rPr>
        <w:t>, en las instalaciones que ocupa el Tribunal de Arbitraje y Escalafón del Estado de Jalisco, situado  en la Avenida Américas número 599,  esquina Eulogio Parra, edificio Cuauhtémoc, cuarto y quinto piso, Colonia Ladrón de Guevara, Guadalajara Jalisco, a efecto de constituirse el pleno del H. COMITÉ DE CLASIFICACIÓN DE INFORMACIÓN PÚBLICA Y TRANSPARENCIA DEL TRIBUNAL DE ARBITRAJE Y ESCALAFÓN DEL ESTADO DE JALISCO, el encargado de la Presidencia del Comité de Clasificación de Información Pública de esta Dependencia, previa convocatoria de la Titular de Esta Unidad de Transparencia en su carácter de Secretario Técnico de este órgano interno, con fundamento en lo dispuesto en el artículo 29 punto 2 de la Ley de Transparencia y Acceso a la Información Pública del Estado de Jalisco y sus Municipios, 11 fracción I, del Reglamento de la Ley de información pública del Estado de Jalisco y sus Municipios</w:t>
      </w:r>
      <w:r w:rsidR="00DC5253" w:rsidRPr="00151FED">
        <w:rPr>
          <w:rFonts w:ascii="Century Gothic" w:hAnsi="Century Gothic"/>
          <w:sz w:val="24"/>
          <w:szCs w:val="24"/>
        </w:rPr>
        <w:t xml:space="preserve"> </w:t>
      </w:r>
      <w:r w:rsidRPr="00151FED">
        <w:rPr>
          <w:rFonts w:ascii="Century Gothic" w:hAnsi="Century Gothic"/>
          <w:sz w:val="24"/>
          <w:szCs w:val="24"/>
        </w:rPr>
        <w:t>se acuerda el inicio de la sesión.-</w:t>
      </w:r>
    </w:p>
    <w:p w:rsidR="00AF3B90" w:rsidRPr="00151FED" w:rsidRDefault="00AF3B90" w:rsidP="00151FED">
      <w:pPr>
        <w:ind w:firstLine="708"/>
        <w:jc w:val="both"/>
        <w:rPr>
          <w:rFonts w:ascii="Century Gothic" w:hAnsi="Century Gothic"/>
          <w:sz w:val="24"/>
          <w:szCs w:val="24"/>
        </w:rPr>
      </w:pPr>
      <w:r w:rsidRPr="00151FED">
        <w:rPr>
          <w:rFonts w:ascii="Century Gothic" w:hAnsi="Century Gothic"/>
          <w:sz w:val="24"/>
          <w:szCs w:val="24"/>
        </w:rPr>
        <w:t xml:space="preserve">Acto continuo la Secretario Técnico hace constar la asistencia de las siguientes personas: </w:t>
      </w:r>
    </w:p>
    <w:p w:rsidR="00AF3B90" w:rsidRPr="00151FED" w:rsidRDefault="00AF3B90" w:rsidP="00151FED">
      <w:pPr>
        <w:jc w:val="both"/>
        <w:rPr>
          <w:rFonts w:ascii="Century Gothic" w:hAnsi="Century Gothic"/>
          <w:b/>
          <w:sz w:val="24"/>
          <w:szCs w:val="24"/>
        </w:rPr>
      </w:pPr>
      <w:r w:rsidRPr="00151FED">
        <w:rPr>
          <w:rFonts w:ascii="Century Gothic" w:hAnsi="Century Gothic"/>
          <w:b/>
          <w:sz w:val="24"/>
          <w:szCs w:val="24"/>
        </w:rPr>
        <w:t xml:space="preserve">MAGISTRADO </w:t>
      </w:r>
      <w:r w:rsidR="00DC5253" w:rsidRPr="00151FED">
        <w:rPr>
          <w:rFonts w:ascii="Century Gothic" w:hAnsi="Century Gothic"/>
          <w:b/>
          <w:sz w:val="24"/>
          <w:szCs w:val="24"/>
        </w:rPr>
        <w:t>JOSÉ DE JESÚS CRUZ FONSECA</w:t>
      </w:r>
      <w:r w:rsidRPr="00151FED">
        <w:rPr>
          <w:rFonts w:ascii="Century Gothic" w:hAnsi="Century Gothic"/>
          <w:b/>
          <w:sz w:val="24"/>
          <w:szCs w:val="24"/>
        </w:rPr>
        <w:t>, EN SU CARÁCTER DE PRESIDENTE DEL TRIBUNAL DE ARBITRAJE Y ESCALAFÓN DEL ESTADO DE JALISCO. Y ENCARGADO DE LA PRESIDENCIA DEL COMITÉ</w:t>
      </w:r>
    </w:p>
    <w:p w:rsidR="00AF3B90" w:rsidRPr="00151FED" w:rsidRDefault="00AF3B90" w:rsidP="00151FED">
      <w:pPr>
        <w:jc w:val="both"/>
        <w:rPr>
          <w:rFonts w:ascii="Century Gothic" w:hAnsi="Century Gothic"/>
          <w:b/>
          <w:sz w:val="24"/>
          <w:szCs w:val="24"/>
        </w:rPr>
      </w:pPr>
      <w:r w:rsidRPr="00151FED">
        <w:rPr>
          <w:rFonts w:ascii="Century Gothic" w:hAnsi="Century Gothic"/>
          <w:b/>
          <w:sz w:val="24"/>
          <w:szCs w:val="24"/>
        </w:rPr>
        <w:t>LICENCIADA KARLA GEORGINA MARTIN ACOSTA, EN SU CARÁCTER DE COORDINADOR OPERATIVO DE LA UNIDAD DE TRANSPARENCIA, QUIEN ACTÚA COMO SECRETARIO TÉCNICO DE ESTE COMITÉ DE CLASIFICACIÓN DE INFORMACIÓN PÚBLICA Y TRANSPARENCIA.</w:t>
      </w:r>
    </w:p>
    <w:p w:rsidR="00AF3B90" w:rsidRPr="00151FED" w:rsidRDefault="00AF3B90" w:rsidP="00151FED">
      <w:pPr>
        <w:jc w:val="both"/>
        <w:rPr>
          <w:rFonts w:ascii="Century Gothic" w:hAnsi="Century Gothic"/>
          <w:b/>
          <w:sz w:val="24"/>
          <w:szCs w:val="24"/>
        </w:rPr>
      </w:pPr>
      <w:r w:rsidRPr="00151FED">
        <w:rPr>
          <w:rFonts w:ascii="Century Gothic" w:hAnsi="Century Gothic"/>
          <w:b/>
          <w:sz w:val="24"/>
          <w:szCs w:val="24"/>
        </w:rPr>
        <w:t>MAESTRA SILVIA LÓPEZ GODÍNEZ, EN SU CARÁCTER DE COORDINADORA ADMINISTRATIVA DEL TRIBUNAL DE ARBITRAJE Y ESCALAFÓN DEL ESTADO DE JALISCO.</w:t>
      </w:r>
    </w:p>
    <w:p w:rsidR="00AF3B90" w:rsidRPr="00151FED" w:rsidRDefault="00AF3B90" w:rsidP="00151FED">
      <w:pPr>
        <w:jc w:val="both"/>
        <w:rPr>
          <w:rFonts w:ascii="Century Gothic" w:hAnsi="Century Gothic"/>
          <w:b/>
          <w:sz w:val="24"/>
          <w:szCs w:val="24"/>
        </w:rPr>
      </w:pPr>
    </w:p>
    <w:p w:rsidR="00AF3B90" w:rsidRDefault="00AF3B90" w:rsidP="00151FED">
      <w:pPr>
        <w:jc w:val="both"/>
        <w:rPr>
          <w:rFonts w:ascii="Century Gothic" w:hAnsi="Century Gothic"/>
          <w:sz w:val="24"/>
          <w:szCs w:val="24"/>
        </w:rPr>
      </w:pPr>
      <w:r w:rsidRPr="00151FED">
        <w:rPr>
          <w:rFonts w:ascii="Century Gothic" w:hAnsi="Century Gothic"/>
          <w:sz w:val="24"/>
          <w:szCs w:val="24"/>
        </w:rPr>
        <w:lastRenderedPageBreak/>
        <w:tab/>
        <w:t xml:space="preserve">Una vez verificado el quórum legal para sesionar, y encontrándose la totalidad de los integrantes del comité, se procede a la lectura de la orden del día: </w:t>
      </w:r>
    </w:p>
    <w:p w:rsidR="00AF3B90" w:rsidRPr="00151FED" w:rsidRDefault="00AF3B90" w:rsidP="00151FED">
      <w:pPr>
        <w:jc w:val="both"/>
        <w:rPr>
          <w:rFonts w:ascii="Century Gothic" w:hAnsi="Century Gothic"/>
          <w:b/>
          <w:sz w:val="24"/>
          <w:szCs w:val="24"/>
        </w:rPr>
      </w:pPr>
      <w:r w:rsidRPr="00151FED">
        <w:rPr>
          <w:rFonts w:ascii="Century Gothic" w:hAnsi="Century Gothic"/>
          <w:b/>
          <w:sz w:val="24"/>
          <w:szCs w:val="24"/>
        </w:rPr>
        <w:t>1.- Lista de asistencia y establecimiento de quórum legal.</w:t>
      </w:r>
    </w:p>
    <w:p w:rsidR="00940DBA" w:rsidRPr="00151FED" w:rsidRDefault="00940DBA" w:rsidP="00151FED">
      <w:pPr>
        <w:jc w:val="both"/>
        <w:rPr>
          <w:rFonts w:ascii="Century Gothic" w:hAnsi="Century Gothic"/>
          <w:b/>
          <w:sz w:val="24"/>
          <w:szCs w:val="24"/>
        </w:rPr>
      </w:pPr>
      <w:r w:rsidRPr="00151FED">
        <w:rPr>
          <w:rFonts w:ascii="Century Gothic" w:hAnsi="Century Gothic"/>
          <w:b/>
          <w:sz w:val="24"/>
          <w:szCs w:val="24"/>
        </w:rPr>
        <w:t>2.-Constancia de cumplimiento al artículo 29 parrafo1, de la Ley de Transparencia y Acceso a la Información Pública del Estado de Jalisco y sus Municipios.</w:t>
      </w:r>
    </w:p>
    <w:p w:rsidR="00940DBA" w:rsidRPr="00151FED" w:rsidRDefault="00940DBA" w:rsidP="00151FED">
      <w:pPr>
        <w:jc w:val="both"/>
        <w:rPr>
          <w:rFonts w:ascii="Century Gothic" w:hAnsi="Century Gothic"/>
          <w:b/>
          <w:sz w:val="24"/>
          <w:szCs w:val="24"/>
        </w:rPr>
      </w:pPr>
      <w:r w:rsidRPr="00151FED">
        <w:rPr>
          <w:rFonts w:ascii="Century Gothic" w:hAnsi="Century Gothic"/>
          <w:b/>
          <w:sz w:val="24"/>
          <w:szCs w:val="24"/>
        </w:rPr>
        <w:t>3.-Asuntos varios.</w:t>
      </w:r>
    </w:p>
    <w:p w:rsidR="00940DBA" w:rsidRPr="00151FED" w:rsidRDefault="00940DBA" w:rsidP="00151FED">
      <w:pPr>
        <w:jc w:val="both"/>
        <w:rPr>
          <w:rFonts w:ascii="Century Gothic" w:hAnsi="Century Gothic" w:cs="Arial"/>
          <w:sz w:val="24"/>
          <w:szCs w:val="24"/>
        </w:rPr>
      </w:pPr>
      <w:r w:rsidRPr="00151FED">
        <w:rPr>
          <w:rFonts w:ascii="Century Gothic" w:hAnsi="Century Gothic"/>
          <w:b/>
          <w:sz w:val="24"/>
          <w:szCs w:val="24"/>
        </w:rPr>
        <w:t>4.-Clausura de la sesión.</w:t>
      </w:r>
      <w:r w:rsidRPr="00151FED">
        <w:rPr>
          <w:rFonts w:ascii="Century Gothic" w:hAnsi="Century Gothic" w:cs="Arial"/>
          <w:b/>
          <w:sz w:val="24"/>
          <w:szCs w:val="24"/>
        </w:rPr>
        <w:t xml:space="preserve"> </w:t>
      </w:r>
    </w:p>
    <w:p w:rsidR="00151FED" w:rsidRDefault="00151FED" w:rsidP="00151FED">
      <w:pPr>
        <w:pStyle w:val="titulo"/>
        <w:spacing w:line="276" w:lineRule="auto"/>
        <w:jc w:val="both"/>
        <w:outlineLvl w:val="0"/>
        <w:rPr>
          <w:rFonts w:ascii="Century Gothic" w:hAnsi="Century Gothic" w:cs="Arial"/>
          <w:b w:val="0"/>
          <w:spacing w:val="0"/>
          <w:sz w:val="24"/>
          <w:szCs w:val="24"/>
        </w:rPr>
      </w:pPr>
    </w:p>
    <w:p w:rsidR="00151FED" w:rsidRPr="00467FAC" w:rsidRDefault="00151FED" w:rsidP="00151FED">
      <w:pPr>
        <w:spacing w:after="343"/>
        <w:ind w:left="57" w:right="45" w:firstLine="2"/>
        <w:jc w:val="both"/>
        <w:rPr>
          <w:rFonts w:ascii="Century Gothic" w:hAnsi="Century Gothic"/>
        </w:rPr>
      </w:pPr>
      <w:r w:rsidRPr="00467FAC">
        <w:rPr>
          <w:rFonts w:ascii="Century Gothic" w:hAnsi="Century Gothic"/>
        </w:rPr>
        <w:tab/>
        <w:t>En relación al punto número 2 dos, se pone a consideración de los integrantes del Comité la orden del día, quienes en votación económica aprobaron por mayoría de votos.</w:t>
      </w:r>
    </w:p>
    <w:p w:rsidR="00940DBA" w:rsidRPr="00151FED" w:rsidRDefault="00151FED" w:rsidP="00151FED">
      <w:pPr>
        <w:jc w:val="center"/>
        <w:rPr>
          <w:rFonts w:ascii="Century Gothic" w:hAnsi="Century Gothic" w:cs="Arial"/>
          <w:b/>
          <w:sz w:val="24"/>
          <w:szCs w:val="24"/>
        </w:rPr>
      </w:pPr>
      <w:r>
        <w:rPr>
          <w:rFonts w:ascii="Century Gothic" w:hAnsi="Century Gothic" w:cs="Arial"/>
          <w:b/>
          <w:sz w:val="24"/>
          <w:szCs w:val="24"/>
        </w:rPr>
        <w:t>Puntos de acuerdo.</w:t>
      </w:r>
    </w:p>
    <w:p w:rsidR="00940DBA" w:rsidRPr="00151FED" w:rsidRDefault="00940DBA" w:rsidP="00151FED">
      <w:pPr>
        <w:jc w:val="center"/>
        <w:rPr>
          <w:rFonts w:ascii="Century Gothic" w:hAnsi="Century Gothic" w:cs="Arial"/>
          <w:b/>
          <w:sz w:val="24"/>
          <w:szCs w:val="24"/>
        </w:rPr>
      </w:pPr>
    </w:p>
    <w:p w:rsidR="00940DBA" w:rsidRPr="00151FED" w:rsidRDefault="00940DBA" w:rsidP="00151FED">
      <w:pPr>
        <w:pStyle w:val="Textoindependiente2"/>
        <w:numPr>
          <w:ilvl w:val="0"/>
          <w:numId w:val="2"/>
        </w:numPr>
        <w:spacing w:after="0" w:line="276" w:lineRule="auto"/>
        <w:ind w:left="426" w:hanging="426"/>
        <w:jc w:val="both"/>
        <w:rPr>
          <w:rFonts w:ascii="Century Gothic" w:hAnsi="Century Gothic" w:cs="Arial"/>
          <w:szCs w:val="24"/>
        </w:rPr>
      </w:pPr>
      <w:r w:rsidRPr="00151FED">
        <w:rPr>
          <w:rFonts w:ascii="Century Gothic" w:hAnsi="Century Gothic" w:cs="Arial"/>
          <w:szCs w:val="24"/>
        </w:rPr>
        <w:t>Existe el quórum legal para el desarrollo de la sesión de Comité de Transparencia, en términos del artículo 9º de la Constitución Política del Estado de Jalisco y de los artículos 29 párrafos 1, 2 y 3 de la Ley de Transparencia y Acceso a la Información Pública del Estado de Jalisco y sus Municipios, por tanto, los acuerdos que de la misma se formalicen serán legales y válidos.</w:t>
      </w:r>
    </w:p>
    <w:p w:rsidR="00940DBA" w:rsidRPr="00151FED" w:rsidRDefault="00940DBA" w:rsidP="00151FED">
      <w:pPr>
        <w:numPr>
          <w:ilvl w:val="0"/>
          <w:numId w:val="2"/>
        </w:numPr>
        <w:spacing w:after="0"/>
        <w:ind w:left="426" w:hanging="437"/>
        <w:jc w:val="both"/>
        <w:rPr>
          <w:rFonts w:ascii="Century Gothic" w:hAnsi="Century Gothic" w:cs="Arial"/>
          <w:b/>
          <w:sz w:val="24"/>
          <w:szCs w:val="24"/>
          <w:lang w:val="es-ES_tradnl"/>
        </w:rPr>
      </w:pPr>
      <w:r w:rsidRPr="00151FED">
        <w:rPr>
          <w:rFonts w:ascii="Century Gothic" w:hAnsi="Century Gothic" w:cs="Arial"/>
          <w:sz w:val="24"/>
          <w:szCs w:val="24"/>
        </w:rPr>
        <w:t>En el segundo punto del orden del día, se da cumplimiento a lo establecido por el artículo 29 párrafo 1 de la Ley de Transparencia y Acceso a la Información Pública del Estado de Jalisco y sus Municipios, que establece que el Comité de Transparencia debe sesionar de manera ordinaria una vez cada cuatro meses, y no existiendo a la fecha de esta acta un asunto para clasificar se procede a levantar el acta para dejar constancia del cumplimiento legal.</w:t>
      </w:r>
    </w:p>
    <w:p w:rsidR="00940DBA" w:rsidRPr="00151FED" w:rsidRDefault="00940DBA" w:rsidP="00151FED">
      <w:pPr>
        <w:pStyle w:val="Prrafodelista"/>
        <w:spacing w:line="276" w:lineRule="auto"/>
        <w:rPr>
          <w:rFonts w:ascii="Century Gothic" w:hAnsi="Century Gothic" w:cs="Arial"/>
          <w:b/>
          <w:szCs w:val="24"/>
        </w:rPr>
      </w:pPr>
    </w:p>
    <w:p w:rsidR="00940DBA" w:rsidRPr="00151FED" w:rsidRDefault="00940DBA" w:rsidP="00151FED">
      <w:pPr>
        <w:numPr>
          <w:ilvl w:val="0"/>
          <w:numId w:val="2"/>
        </w:numPr>
        <w:spacing w:after="0"/>
        <w:ind w:left="426" w:hanging="437"/>
        <w:jc w:val="both"/>
        <w:rPr>
          <w:rFonts w:ascii="Century Gothic" w:hAnsi="Century Gothic" w:cs="Arial"/>
          <w:sz w:val="24"/>
          <w:szCs w:val="24"/>
          <w:lang w:val="es-ES_tradnl"/>
        </w:rPr>
      </w:pPr>
      <w:r w:rsidRPr="00151FED">
        <w:rPr>
          <w:rFonts w:ascii="Century Gothic" w:hAnsi="Century Gothic" w:cs="Arial"/>
          <w:sz w:val="24"/>
          <w:szCs w:val="24"/>
          <w:lang w:val="es-ES_tradnl"/>
        </w:rPr>
        <w:t xml:space="preserve">En el tercer punto del orden del día, se pregunta a los integrantes de este Comité de Transparencia si existe algún asunto que se quiera discutir, manifestándose los presentes por la negativa. </w:t>
      </w:r>
    </w:p>
    <w:p w:rsidR="00940DBA" w:rsidRPr="00151FED" w:rsidRDefault="00940DBA" w:rsidP="00151FED">
      <w:pPr>
        <w:pStyle w:val="Prrafodelista"/>
        <w:spacing w:line="276" w:lineRule="auto"/>
        <w:rPr>
          <w:rFonts w:ascii="Century Gothic" w:hAnsi="Century Gothic" w:cs="Arial"/>
          <w:szCs w:val="24"/>
        </w:rPr>
      </w:pPr>
    </w:p>
    <w:p w:rsidR="00940DBA" w:rsidRPr="00151FED" w:rsidRDefault="00940DBA" w:rsidP="00151FED">
      <w:pPr>
        <w:numPr>
          <w:ilvl w:val="0"/>
          <w:numId w:val="2"/>
        </w:numPr>
        <w:spacing w:after="0"/>
        <w:ind w:left="426" w:hanging="437"/>
        <w:jc w:val="both"/>
        <w:rPr>
          <w:rFonts w:ascii="Century Gothic" w:hAnsi="Century Gothic" w:cs="Arial"/>
          <w:sz w:val="24"/>
          <w:szCs w:val="24"/>
          <w:lang w:val="es-ES_tradnl"/>
        </w:rPr>
      </w:pPr>
      <w:r w:rsidRPr="00151FED">
        <w:rPr>
          <w:rFonts w:ascii="Century Gothic" w:hAnsi="Century Gothic" w:cs="Arial"/>
          <w:sz w:val="24"/>
          <w:szCs w:val="24"/>
          <w:lang w:val="es-ES_tradnl"/>
        </w:rPr>
        <w:lastRenderedPageBreak/>
        <w:t>No habiendo más asuntos que tratar queda clausurada la  Primera  Sesión Ordinaria.</w:t>
      </w:r>
    </w:p>
    <w:p w:rsidR="00940DBA" w:rsidRPr="00151FED" w:rsidRDefault="00940DBA" w:rsidP="00151FED">
      <w:pPr>
        <w:pStyle w:val="Prrafodelista"/>
        <w:spacing w:line="276" w:lineRule="auto"/>
        <w:jc w:val="both"/>
        <w:rPr>
          <w:rFonts w:ascii="Century Gothic" w:hAnsi="Century Gothic" w:cs="Arial"/>
          <w:b/>
          <w:szCs w:val="24"/>
        </w:rPr>
      </w:pPr>
    </w:p>
    <w:p w:rsidR="00151FED" w:rsidRPr="00151FED" w:rsidRDefault="00151FED" w:rsidP="00151FED">
      <w:pPr>
        <w:jc w:val="both"/>
        <w:rPr>
          <w:rFonts w:ascii="Century Gothic" w:hAnsi="Century Gothic"/>
          <w:b/>
          <w:sz w:val="24"/>
          <w:szCs w:val="24"/>
        </w:rPr>
      </w:pPr>
      <w:r w:rsidRPr="00151FED">
        <w:rPr>
          <w:rFonts w:ascii="Century Gothic" w:hAnsi="Century Gothic"/>
          <w:b/>
          <w:sz w:val="24"/>
          <w:szCs w:val="24"/>
        </w:rPr>
        <w:t>----------------------------SE APRUEBAN LOS PUNTOS DE ACUERDO--------------</w:t>
      </w:r>
    </w:p>
    <w:p w:rsidR="00151FED" w:rsidRPr="00151FED" w:rsidRDefault="00151FED" w:rsidP="00151FED">
      <w:pPr>
        <w:ind w:firstLine="708"/>
        <w:jc w:val="both"/>
        <w:rPr>
          <w:rFonts w:ascii="Century Gothic" w:hAnsi="Century Gothic"/>
          <w:sz w:val="24"/>
          <w:szCs w:val="24"/>
        </w:rPr>
      </w:pPr>
    </w:p>
    <w:p w:rsidR="00151FED" w:rsidRPr="00151FED" w:rsidRDefault="00151FED" w:rsidP="00151FED">
      <w:pPr>
        <w:ind w:firstLine="708"/>
        <w:jc w:val="both"/>
        <w:rPr>
          <w:rFonts w:ascii="Century Gothic" w:hAnsi="Century Gothic"/>
          <w:sz w:val="24"/>
          <w:szCs w:val="24"/>
        </w:rPr>
      </w:pPr>
      <w:r w:rsidRPr="00151FED">
        <w:rPr>
          <w:rFonts w:ascii="Century Gothic" w:hAnsi="Century Gothic"/>
          <w:sz w:val="24"/>
          <w:szCs w:val="24"/>
        </w:rPr>
        <w:t xml:space="preserve">Así lo aprobó el H. COMITÉ DE CLASIFICACIÓN DE INFORMACIÓN PÚBLICA Y TRANSPARENCIA DEL TRIBUNAL DE ARBITRAJE Y ESCALAFÓN DEL ESTADO DE JALISCO, concluyendo la sesión a las 12:00 doce horas del día </w:t>
      </w:r>
      <w:r>
        <w:rPr>
          <w:rFonts w:ascii="Century Gothic" w:hAnsi="Century Gothic"/>
          <w:sz w:val="24"/>
          <w:szCs w:val="24"/>
        </w:rPr>
        <w:t xml:space="preserve">16 </w:t>
      </w:r>
      <w:r w:rsidR="00F31B12">
        <w:rPr>
          <w:rFonts w:ascii="Century Gothic" w:hAnsi="Century Gothic"/>
          <w:sz w:val="24"/>
          <w:szCs w:val="24"/>
        </w:rPr>
        <w:t>dieciséis</w:t>
      </w:r>
      <w:r>
        <w:rPr>
          <w:rFonts w:ascii="Century Gothic" w:hAnsi="Century Gothic"/>
          <w:sz w:val="24"/>
          <w:szCs w:val="24"/>
        </w:rPr>
        <w:t xml:space="preserve"> de abril del año 2018 dos mil dieciocho</w:t>
      </w:r>
      <w:r w:rsidRPr="00151FED">
        <w:rPr>
          <w:rFonts w:ascii="Century Gothic" w:hAnsi="Century Gothic"/>
          <w:sz w:val="24"/>
          <w:szCs w:val="24"/>
        </w:rPr>
        <w:t xml:space="preserve">, en la Ciudad de Guadalajara, Jalisco, firmando los que en ella intervienen.--  - - - - - - </w:t>
      </w:r>
      <w:r w:rsidRPr="00151FED">
        <w:rPr>
          <w:rFonts w:ascii="Century Gothic" w:hAnsi="Century Gothic"/>
          <w:b/>
          <w:sz w:val="24"/>
          <w:szCs w:val="24"/>
        </w:rPr>
        <w:t>CONSTE.-</w:t>
      </w:r>
    </w:p>
    <w:p w:rsidR="00151FED" w:rsidRPr="00151FED" w:rsidRDefault="00151FED" w:rsidP="00151FED">
      <w:pPr>
        <w:ind w:firstLine="708"/>
        <w:jc w:val="both"/>
        <w:rPr>
          <w:rFonts w:ascii="Century Gothic" w:hAnsi="Century Gothic"/>
          <w:sz w:val="24"/>
          <w:szCs w:val="24"/>
        </w:rPr>
      </w:pPr>
    </w:p>
    <w:p w:rsidR="00151FED" w:rsidRPr="00151FED" w:rsidRDefault="00151FED" w:rsidP="00151FED">
      <w:pPr>
        <w:ind w:firstLine="708"/>
        <w:jc w:val="both"/>
        <w:rPr>
          <w:rFonts w:ascii="Century Gothic" w:hAnsi="Century Gothic"/>
          <w:sz w:val="24"/>
          <w:szCs w:val="24"/>
        </w:rPr>
      </w:pPr>
    </w:p>
    <w:p w:rsidR="00151FED" w:rsidRPr="00151FED" w:rsidRDefault="00151FED" w:rsidP="00151FED">
      <w:pPr>
        <w:rPr>
          <w:rFonts w:ascii="Century Gothic" w:hAnsi="Century Gothic"/>
          <w:sz w:val="24"/>
          <w:szCs w:val="24"/>
        </w:rPr>
      </w:pPr>
      <w:r w:rsidRPr="00151FED">
        <w:rPr>
          <w:rFonts w:ascii="Century Gothic" w:hAnsi="Century Gothic"/>
          <w:sz w:val="24"/>
          <w:szCs w:val="24"/>
        </w:rPr>
        <w:t>_______________________________________</w:t>
      </w:r>
    </w:p>
    <w:p w:rsidR="00151FED" w:rsidRPr="00151FED" w:rsidRDefault="00151FED" w:rsidP="00151FED">
      <w:pPr>
        <w:rPr>
          <w:rFonts w:ascii="Century Gothic" w:hAnsi="Century Gothic"/>
          <w:sz w:val="24"/>
          <w:szCs w:val="24"/>
        </w:rPr>
      </w:pPr>
      <w:r w:rsidRPr="00151FED">
        <w:rPr>
          <w:rFonts w:ascii="Century Gothic" w:hAnsi="Century Gothic"/>
          <w:sz w:val="24"/>
          <w:szCs w:val="24"/>
        </w:rPr>
        <w:t xml:space="preserve">MAGISTRADO JOSÉ DE JESÚS CRUZ FONSECA </w:t>
      </w:r>
    </w:p>
    <w:p w:rsidR="00151FED" w:rsidRPr="00151FED" w:rsidRDefault="00151FED" w:rsidP="00151FED">
      <w:pPr>
        <w:rPr>
          <w:rFonts w:ascii="Century Gothic" w:hAnsi="Century Gothic"/>
          <w:sz w:val="24"/>
          <w:szCs w:val="24"/>
        </w:rPr>
      </w:pPr>
      <w:r w:rsidRPr="00151FED">
        <w:rPr>
          <w:rFonts w:ascii="Century Gothic" w:hAnsi="Century Gothic"/>
          <w:sz w:val="24"/>
          <w:szCs w:val="24"/>
        </w:rPr>
        <w:t>PRESIDENTE</w:t>
      </w:r>
    </w:p>
    <w:p w:rsidR="00151FED" w:rsidRPr="00151FED" w:rsidRDefault="00151FED" w:rsidP="00151FED">
      <w:pPr>
        <w:rPr>
          <w:rFonts w:ascii="Century Gothic" w:hAnsi="Century Gothic"/>
          <w:sz w:val="24"/>
          <w:szCs w:val="24"/>
        </w:rPr>
      </w:pPr>
    </w:p>
    <w:p w:rsidR="00151FED" w:rsidRPr="00151FED" w:rsidRDefault="00151FED" w:rsidP="00151FED">
      <w:pPr>
        <w:rPr>
          <w:rFonts w:ascii="Century Gothic" w:hAnsi="Century Gothic"/>
          <w:sz w:val="24"/>
          <w:szCs w:val="24"/>
        </w:rPr>
      </w:pPr>
    </w:p>
    <w:p w:rsidR="00151FED" w:rsidRPr="00151FED" w:rsidRDefault="00151FED" w:rsidP="00151FED">
      <w:pPr>
        <w:rPr>
          <w:rFonts w:ascii="Century Gothic" w:hAnsi="Century Gothic"/>
          <w:sz w:val="24"/>
          <w:szCs w:val="24"/>
        </w:rPr>
      </w:pPr>
      <w:r w:rsidRPr="00151FED">
        <w:rPr>
          <w:rFonts w:ascii="Century Gothic" w:hAnsi="Century Gothic"/>
          <w:sz w:val="24"/>
          <w:szCs w:val="24"/>
        </w:rPr>
        <w:t>______________________________________</w:t>
      </w:r>
    </w:p>
    <w:p w:rsidR="00151FED" w:rsidRPr="00151FED" w:rsidRDefault="00151FED" w:rsidP="00151FED">
      <w:pPr>
        <w:rPr>
          <w:rFonts w:ascii="Century Gothic" w:hAnsi="Century Gothic"/>
          <w:sz w:val="24"/>
          <w:szCs w:val="24"/>
        </w:rPr>
      </w:pPr>
      <w:r w:rsidRPr="00151FED">
        <w:rPr>
          <w:rFonts w:ascii="Century Gothic" w:hAnsi="Century Gothic"/>
          <w:sz w:val="24"/>
          <w:szCs w:val="24"/>
        </w:rPr>
        <w:t>LIC. KARLA GEORGINA MARTIN ACOSTA</w:t>
      </w:r>
    </w:p>
    <w:p w:rsidR="00151FED" w:rsidRPr="00151FED" w:rsidRDefault="00151FED" w:rsidP="00151FED">
      <w:pPr>
        <w:rPr>
          <w:rFonts w:ascii="Century Gothic" w:hAnsi="Century Gothic"/>
          <w:sz w:val="24"/>
          <w:szCs w:val="24"/>
        </w:rPr>
      </w:pPr>
      <w:r w:rsidRPr="00151FED">
        <w:rPr>
          <w:rFonts w:ascii="Century Gothic" w:hAnsi="Century Gothic"/>
          <w:sz w:val="24"/>
          <w:szCs w:val="24"/>
        </w:rPr>
        <w:t>SECRETARIO</w:t>
      </w:r>
    </w:p>
    <w:p w:rsidR="00151FED" w:rsidRPr="00151FED" w:rsidRDefault="00151FED" w:rsidP="00151FED">
      <w:pPr>
        <w:rPr>
          <w:rFonts w:ascii="Century Gothic" w:hAnsi="Century Gothic"/>
          <w:sz w:val="24"/>
          <w:szCs w:val="24"/>
        </w:rPr>
      </w:pPr>
    </w:p>
    <w:p w:rsidR="00151FED" w:rsidRPr="00151FED" w:rsidRDefault="00151FED" w:rsidP="00151FED">
      <w:pPr>
        <w:rPr>
          <w:rFonts w:ascii="Century Gothic" w:hAnsi="Century Gothic"/>
          <w:sz w:val="24"/>
          <w:szCs w:val="24"/>
        </w:rPr>
      </w:pPr>
    </w:p>
    <w:p w:rsidR="00151FED" w:rsidRPr="00151FED" w:rsidRDefault="00151FED" w:rsidP="00151FED">
      <w:pPr>
        <w:rPr>
          <w:rFonts w:ascii="Century Gothic" w:hAnsi="Century Gothic"/>
          <w:sz w:val="24"/>
          <w:szCs w:val="24"/>
        </w:rPr>
      </w:pPr>
      <w:r w:rsidRPr="00151FED">
        <w:rPr>
          <w:rFonts w:ascii="Century Gothic" w:hAnsi="Century Gothic"/>
          <w:sz w:val="24"/>
          <w:szCs w:val="24"/>
        </w:rPr>
        <w:t>______________________________________</w:t>
      </w:r>
    </w:p>
    <w:p w:rsidR="00151FED" w:rsidRPr="00151FED" w:rsidRDefault="00151FED" w:rsidP="00151FED">
      <w:pPr>
        <w:rPr>
          <w:rFonts w:ascii="Century Gothic" w:hAnsi="Century Gothic"/>
          <w:sz w:val="24"/>
          <w:szCs w:val="24"/>
        </w:rPr>
      </w:pPr>
      <w:r w:rsidRPr="00151FED">
        <w:rPr>
          <w:rFonts w:ascii="Century Gothic" w:hAnsi="Century Gothic"/>
          <w:sz w:val="24"/>
          <w:szCs w:val="24"/>
        </w:rPr>
        <w:t>MAESTRA SILVIA LÓPEZ GODÍNEZ</w:t>
      </w:r>
    </w:p>
    <w:p w:rsidR="00151FED" w:rsidRPr="00151FED" w:rsidRDefault="00151FED" w:rsidP="00151FED">
      <w:pPr>
        <w:rPr>
          <w:rFonts w:ascii="Century Gothic" w:hAnsi="Century Gothic"/>
          <w:sz w:val="24"/>
          <w:szCs w:val="24"/>
        </w:rPr>
      </w:pPr>
      <w:r w:rsidRPr="00151FED">
        <w:rPr>
          <w:rFonts w:ascii="Century Gothic" w:hAnsi="Century Gothic"/>
          <w:sz w:val="24"/>
          <w:szCs w:val="24"/>
        </w:rPr>
        <w:t>VOCAL</w:t>
      </w:r>
    </w:p>
    <w:p w:rsidR="00151FED" w:rsidRPr="00151FED" w:rsidRDefault="00151FED" w:rsidP="00151FED">
      <w:pPr>
        <w:rPr>
          <w:sz w:val="24"/>
          <w:szCs w:val="24"/>
        </w:rPr>
      </w:pPr>
    </w:p>
    <w:p w:rsidR="00151FED" w:rsidRPr="00151FED" w:rsidRDefault="00151FED" w:rsidP="00151FED">
      <w:pPr>
        <w:pStyle w:val="Prrafodelista"/>
        <w:spacing w:line="276" w:lineRule="auto"/>
        <w:jc w:val="both"/>
        <w:rPr>
          <w:rFonts w:ascii="Century Gothic" w:hAnsi="Century Gothic" w:cs="Arial"/>
          <w:b/>
          <w:szCs w:val="24"/>
          <w:lang w:val="es-MX"/>
        </w:rPr>
      </w:pPr>
    </w:p>
    <w:sectPr w:rsidR="00151FED" w:rsidRPr="00151FED" w:rsidSect="00D53E5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03E89"/>
    <w:multiLevelType w:val="hybridMultilevel"/>
    <w:tmpl w:val="A4E800FE"/>
    <w:lvl w:ilvl="0" w:tplc="6E4E2C02">
      <w:start w:val="1"/>
      <w:numFmt w:val="upperRoman"/>
      <w:lvlText w:val="%1."/>
      <w:lvlJc w:val="left"/>
      <w:pPr>
        <w:ind w:left="1428" w:hanging="720"/>
      </w:pPr>
      <w:rPr>
        <w:b/>
      </w:rPr>
    </w:lvl>
    <w:lvl w:ilvl="1" w:tplc="0C0A0019">
      <w:start w:val="1"/>
      <w:numFmt w:val="lowerLetter"/>
      <w:lvlText w:val="%2."/>
      <w:lvlJc w:val="left"/>
      <w:pPr>
        <w:ind w:left="1788"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67E4582E"/>
    <w:multiLevelType w:val="hybridMultilevel"/>
    <w:tmpl w:val="961C4D24"/>
    <w:lvl w:ilvl="0" w:tplc="DE305B9C">
      <w:start w:val="1"/>
      <w:numFmt w:val="upperRoman"/>
      <w:lvlText w:val="%1."/>
      <w:lvlJc w:val="left"/>
      <w:pPr>
        <w:ind w:left="1080" w:hanging="720"/>
      </w:pPr>
      <w:rPr>
        <w:rFonts w:ascii="Arial" w:hAnsi="Arial" w:cs="Arial" w:hint="default"/>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F3B90"/>
    <w:rsid w:val="000F061A"/>
    <w:rsid w:val="00151FED"/>
    <w:rsid w:val="00317E09"/>
    <w:rsid w:val="003F2DC7"/>
    <w:rsid w:val="004B1609"/>
    <w:rsid w:val="005C6E48"/>
    <w:rsid w:val="00622D2B"/>
    <w:rsid w:val="00940DBA"/>
    <w:rsid w:val="00AF3B90"/>
    <w:rsid w:val="00D53E56"/>
    <w:rsid w:val="00DC5253"/>
    <w:rsid w:val="00E1636B"/>
    <w:rsid w:val="00E21E5C"/>
    <w:rsid w:val="00F31B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E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F3B90"/>
    <w:pPr>
      <w:spacing w:after="0" w:line="240" w:lineRule="auto"/>
    </w:pPr>
    <w:rPr>
      <w:rFonts w:eastAsiaTheme="minorHAnsi"/>
      <w:lang w:eastAsia="en-US"/>
    </w:rPr>
  </w:style>
  <w:style w:type="paragraph" w:styleId="Textoindependiente2">
    <w:name w:val="Body Text 2"/>
    <w:basedOn w:val="Normal"/>
    <w:link w:val="Textoindependiente2Car"/>
    <w:semiHidden/>
    <w:unhideWhenUsed/>
    <w:rsid w:val="00940DBA"/>
    <w:pPr>
      <w:spacing w:after="120" w:line="480" w:lineRule="auto"/>
    </w:pPr>
    <w:rPr>
      <w:rFonts w:ascii="Arial" w:eastAsia="Times" w:hAnsi="Arial" w:cs="Times New Roman"/>
      <w:sz w:val="24"/>
      <w:szCs w:val="20"/>
      <w:lang w:val="es-ES_tradnl" w:eastAsia="es-ES"/>
    </w:rPr>
  </w:style>
  <w:style w:type="character" w:customStyle="1" w:styleId="Textoindependiente2Car">
    <w:name w:val="Texto independiente 2 Car"/>
    <w:basedOn w:val="Fuentedeprrafopredeter"/>
    <w:link w:val="Textoindependiente2"/>
    <w:semiHidden/>
    <w:rsid w:val="00940DBA"/>
    <w:rPr>
      <w:rFonts w:ascii="Arial" w:eastAsia="Times" w:hAnsi="Arial" w:cs="Times New Roman"/>
      <w:sz w:val="24"/>
      <w:szCs w:val="20"/>
      <w:lang w:val="es-ES_tradnl" w:eastAsia="es-ES"/>
    </w:rPr>
  </w:style>
  <w:style w:type="paragraph" w:styleId="Prrafodelista">
    <w:name w:val="List Paragraph"/>
    <w:basedOn w:val="Normal"/>
    <w:uiPriority w:val="34"/>
    <w:qFormat/>
    <w:rsid w:val="00940DBA"/>
    <w:pPr>
      <w:spacing w:after="0" w:line="240" w:lineRule="auto"/>
      <w:ind w:left="708"/>
    </w:pPr>
    <w:rPr>
      <w:rFonts w:ascii="Arial" w:eastAsia="Times" w:hAnsi="Arial" w:cs="Times New Roman"/>
      <w:sz w:val="24"/>
      <w:szCs w:val="20"/>
      <w:lang w:val="es-ES_tradnl" w:eastAsia="es-ES"/>
    </w:rPr>
  </w:style>
  <w:style w:type="paragraph" w:customStyle="1" w:styleId="titulo">
    <w:name w:val="titulo"/>
    <w:basedOn w:val="Normal"/>
    <w:rsid w:val="00940DBA"/>
    <w:pPr>
      <w:snapToGrid w:val="0"/>
      <w:spacing w:after="0" w:line="360" w:lineRule="atLeast"/>
      <w:jc w:val="center"/>
    </w:pPr>
    <w:rPr>
      <w:rFonts w:ascii="Times" w:eastAsia="Times New Roman" w:hAnsi="Times" w:cs="Times New Roman"/>
      <w:b/>
      <w:smallCaps/>
      <w:noProof/>
      <w:spacing w:val="100"/>
      <w:sz w:val="20"/>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63506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653</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EYC-P01</dc:creator>
  <cp:keywords/>
  <dc:description/>
  <cp:lastModifiedBy>EYC-P01</cp:lastModifiedBy>
  <cp:revision>7</cp:revision>
  <cp:lastPrinted>2018-04-12T18:23:00Z</cp:lastPrinted>
  <dcterms:created xsi:type="dcterms:W3CDTF">2018-04-11T15:50:00Z</dcterms:created>
  <dcterms:modified xsi:type="dcterms:W3CDTF">2018-04-12T20:04:00Z</dcterms:modified>
</cp:coreProperties>
</file>